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9"/>
        <w:jc w:val="right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9"/>
        <w:jc w:val="right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9"/>
        <w:jc w:val="right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9"/>
        <w:jc w:val="right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9"/>
        <w:jc w:val="right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9"/>
        <w:jc w:val="right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pStyle w:val="889"/>
        <w:jc w:val="right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9"/>
        <w:jc w:val="right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4"/>
        </w:rPr>
      </w:r>
      <w:r>
        <w:rPr>
          <w:sz w:val="28"/>
          <w:szCs w:val="24"/>
        </w:rPr>
      </w:r>
      <w:r>
        <w:rPr>
          <w:sz w:val="28"/>
          <w:szCs w:val="28"/>
        </w:rPr>
      </w:r>
    </w:p>
    <w:p>
      <w:pPr>
        <w:pStyle w:val="889"/>
        <w:jc w:val="right"/>
        <w:spacing w:line="240" w:lineRule="exact"/>
        <w:rPr>
          <w:sz w:val="28"/>
          <w:szCs w:val="24"/>
        </w:rPr>
        <w:outlineLvl w:val="0"/>
      </w:pPr>
      <w:r>
        <w:rPr>
          <w:sz w:val="28"/>
          <w:szCs w:val="24"/>
        </w:rPr>
        <w:t xml:space="preserve">Приложение 15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pStyle w:val="889"/>
        <w:jc w:val="right"/>
        <w:spacing w:line="240" w:lineRule="exact"/>
        <w:rPr>
          <w:sz w:val="28"/>
          <w:szCs w:val="24"/>
        </w:rPr>
      </w:pPr>
      <w:r>
        <w:rPr>
          <w:sz w:val="28"/>
          <w:szCs w:val="24"/>
        </w:rPr>
        <w:t xml:space="preserve">к тарифному соглашению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pStyle w:val="889"/>
        <w:jc w:val="right"/>
        <w:spacing w:line="240" w:lineRule="exact"/>
        <w:rPr>
          <w:sz w:val="28"/>
          <w:szCs w:val="24"/>
        </w:rPr>
      </w:pPr>
      <w:r>
        <w:rPr>
          <w:sz w:val="28"/>
          <w:szCs w:val="24"/>
        </w:rPr>
        <w:t xml:space="preserve">в сфере обязательного медицинского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pStyle w:val="889"/>
        <w:jc w:val="right"/>
        <w:spacing w:line="240" w:lineRule="exact"/>
        <w:rPr>
          <w:sz w:val="28"/>
          <w:szCs w:val="24"/>
        </w:rPr>
      </w:pPr>
      <w:r>
        <w:rPr>
          <w:sz w:val="28"/>
          <w:szCs w:val="24"/>
        </w:rPr>
        <w:t xml:space="preserve">страхования на территории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pStyle w:val="889"/>
        <w:jc w:val="right"/>
        <w:spacing w:line="240" w:lineRule="exact"/>
        <w:rPr>
          <w:sz w:val="28"/>
          <w:szCs w:val="24"/>
        </w:rPr>
      </w:pPr>
      <w:r>
        <w:rPr>
          <w:sz w:val="28"/>
          <w:szCs w:val="24"/>
        </w:rPr>
        <w:t xml:space="preserve">Ставропольского края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pStyle w:val="889"/>
        <w:jc w:val="right"/>
        <w:spacing w:line="240" w:lineRule="exact"/>
        <w:rPr>
          <w:sz w:val="28"/>
          <w:szCs w:val="24"/>
        </w:rPr>
      </w:pPr>
      <w:r>
        <w:rPr>
          <w:sz w:val="28"/>
          <w:szCs w:val="24"/>
        </w:rPr>
        <w:t xml:space="preserve">от 26 марта 2026 года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pStyle w:val="889"/>
        <w:jc w:val="both"/>
        <w:rPr>
          <w:sz w:val="28"/>
        </w:rPr>
      </w:pPr>
      <w:r/>
      <w:bookmarkStart w:id="0" w:name="_GoBack"/>
      <w:r/>
      <w:bookmarkEnd w:id="0"/>
      <w:r>
        <w:rPr>
          <w:sz w:val="28"/>
        </w:rPr>
      </w:r>
      <w:r>
        <w:rPr>
          <w:sz w:val="28"/>
        </w:rPr>
      </w:r>
    </w:p>
    <w:p>
      <w:pPr>
        <w:pStyle w:val="891"/>
        <w:jc w:val="center"/>
        <w:spacing w:line="283" w:lineRule="exac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ТАРИФЫ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91"/>
        <w:jc w:val="center"/>
        <w:spacing w:line="283" w:lineRule="exac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ОПЛАТУ УСЛУГ ДИАЛИЗА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9"/>
        <w:jc w:val="right"/>
        <w:spacing w:line="240" w:lineRule="exact"/>
        <w:rPr>
          <w:sz w:val="28"/>
        </w:rPr>
      </w:pPr>
      <w:r>
        <w:rPr>
          <w:sz w:val="28"/>
        </w:rPr>
        <w:t xml:space="preserve">(рублей)</w:t>
      </w:r>
      <w:r>
        <w:rPr>
          <w:sz w:val="28"/>
        </w:rPr>
      </w:r>
      <w:r>
        <w:rPr>
          <w:sz w:val="28"/>
        </w:rPr>
      </w:r>
    </w:p>
    <w:tbl>
      <w:tblPr>
        <w:tblpPr w:horzAnchor="margin" w:tblpXSpec="center" w:vertAnchor="text" w:tblpY="398" w:leftFromText="180" w:topFromText="0" w:rightFromText="180" w:bottomFromText="0"/>
        <w:tblW w:w="1069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24"/>
        <w:gridCol w:w="1990"/>
        <w:gridCol w:w="3260"/>
        <w:gridCol w:w="992"/>
        <w:gridCol w:w="1701"/>
        <w:gridCol w:w="1701"/>
        <w:gridCol w:w="426"/>
      </w:tblGrid>
      <w:tr>
        <w:tblPrEx/>
        <w:trPr>
          <w:tblHeader/>
        </w:trPr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889"/>
              <w:jc w:val="center"/>
              <w:spacing w:line="240" w:lineRule="exact"/>
            </w:pPr>
            <w:r>
              <w:t xml:space="preserve">№ стр.</w:t>
            </w:r>
            <w:r/>
          </w:p>
        </w:tc>
        <w:tc>
          <w:tcPr>
            <w:tcW w:w="1990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spacing w:line="240" w:lineRule="exact"/>
            </w:pPr>
            <w:r>
              <w:t xml:space="preserve">Код услуги</w:t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spacing w:line="240" w:lineRule="exact"/>
            </w:pPr>
            <w:r>
              <w:t xml:space="preserve">Наименование услуги</w:t>
            </w:r>
            <w:r/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spacing w:line="240" w:lineRule="exact"/>
            </w:pPr>
            <w:r>
              <w:t xml:space="preserve">Базовая ставка, руб.</w:t>
            </w:r>
            <w:r/>
          </w:p>
        </w:tc>
        <w:tc>
          <w:tcPr>
            <w:tcBorders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spacing w:line="240" w:lineRule="exact"/>
            </w:pPr>
            <w:r>
              <w:t xml:space="preserve">Коэффициент относительной затратоемкости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spacing w:line="240" w:lineRule="exact"/>
            </w:pPr>
            <w:r>
              <w:t xml:space="preserve">Тариф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889"/>
              <w:jc w:val="center"/>
              <w:spacing w:line="240" w:lineRule="exact"/>
            </w:pPr>
            <w:r/>
            <w:r/>
          </w:p>
        </w:tc>
      </w:tr>
      <w:tr>
        <w:tblPrEx/>
        <w:trPr>
          <w:tblHeader/>
        </w:trPr>
        <w:tc>
          <w:tcPr>
            <w:tcW w:w="624" w:type="dxa"/>
            <w:vMerge w:val="continue"/>
            <w:textDirection w:val="lrTb"/>
            <w:noWrap w:val="false"/>
          </w:tcPr>
          <w:p>
            <w:pPr>
              <w:pStyle w:val="889"/>
            </w:pPr>
            <w:r/>
            <w:r/>
          </w:p>
        </w:tc>
        <w:tc>
          <w:tcPr>
            <w:tcW w:w="1990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</w:pPr>
            <w:r>
              <w:t xml:space="preserve">1</w:t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</w:pPr>
            <w:r>
              <w:t xml:space="preserve">2</w:t>
            </w:r>
            <w:r/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</w:pPr>
            <w:r>
              <w:t xml:space="preserve">3</w:t>
            </w:r>
            <w:r/>
          </w:p>
        </w:tc>
        <w:tc>
          <w:tcPr>
            <w:tcBorders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</w:pPr>
            <w: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</w:pPr>
            <w:r>
              <w:t xml:space="preserve">5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889"/>
              <w:jc w:val="center"/>
            </w:pPr>
            <w:r/>
            <w:r/>
          </w:p>
        </w:tc>
      </w:tr>
      <w:tr>
        <w:tblPrEx/>
        <w:trPr>
          <w:tblHeader/>
        </w:trPr>
        <w:tc>
          <w:tcPr>
            <w:tcW w:w="624" w:type="dxa"/>
            <w:textDirection w:val="lrTb"/>
            <w:noWrap w:val="false"/>
          </w:tcPr>
          <w:p>
            <w:pPr>
              <w:pStyle w:val="889"/>
              <w:jc w:val="center"/>
            </w:pPr>
            <w:r>
              <w:t xml:space="preserve">1.</w:t>
            </w:r>
            <w:r/>
          </w:p>
        </w:tc>
        <w:tc>
          <w:tcPr>
            <w:tcW w:w="1990" w:type="dxa"/>
            <w:textDirection w:val="lrTb"/>
            <w:noWrap w:val="false"/>
          </w:tcPr>
          <w:p>
            <w:pPr>
              <w:pStyle w:val="889"/>
            </w:pPr>
            <w:r>
              <w:t xml:space="preserve">A18.05.002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889"/>
            </w:pPr>
            <w:r>
              <w:t xml:space="preserve">Гемодиализ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t xml:space="preserve">6 619,15</w:t>
            </w:r>
            <w:r/>
          </w:p>
        </w:tc>
        <w:tc>
          <w:tcPr>
            <w:tcBorders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t xml:space="preserve">1,0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rPr>
                <w:color w:val="000000"/>
              </w:rPr>
              <w:t xml:space="preserve">6 619,15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889"/>
              <w:jc w:val="right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blHeader/>
        </w:trPr>
        <w:tc>
          <w:tcPr>
            <w:tcW w:w="624" w:type="dxa"/>
            <w:textDirection w:val="lrTb"/>
            <w:noWrap w:val="false"/>
          </w:tcPr>
          <w:p>
            <w:pPr>
              <w:pStyle w:val="889"/>
              <w:jc w:val="center"/>
            </w:pPr>
            <w:r>
              <w:t xml:space="preserve">2.</w:t>
            </w:r>
            <w:r/>
          </w:p>
        </w:tc>
        <w:tc>
          <w:tcPr>
            <w:tcW w:w="1990" w:type="dxa"/>
            <w:textDirection w:val="lrTb"/>
            <w:noWrap w:val="false"/>
          </w:tcPr>
          <w:p>
            <w:pPr>
              <w:pStyle w:val="889"/>
            </w:pPr>
            <w:r>
              <w:t xml:space="preserve">A18.05.002.002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889"/>
            </w:pPr>
            <w:r>
              <w:t xml:space="preserve">Гемодиализ интермиттирующий низкопоточный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89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6 619,15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t xml:space="preserve">1,0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rPr>
                <w:color w:val="000000"/>
              </w:rPr>
              <w:t xml:space="preserve">6 619,15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889"/>
              <w:jc w:val="right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blHeader/>
        </w:trPr>
        <w:tc>
          <w:tcPr>
            <w:tcW w:w="624" w:type="dxa"/>
            <w:textDirection w:val="lrTb"/>
            <w:noWrap w:val="false"/>
          </w:tcPr>
          <w:p>
            <w:pPr>
              <w:pStyle w:val="889"/>
              <w:jc w:val="center"/>
            </w:pPr>
            <w:r>
              <w:t xml:space="preserve">3.</w:t>
            </w:r>
            <w:r/>
          </w:p>
        </w:tc>
        <w:tc>
          <w:tcPr>
            <w:tcW w:w="1990" w:type="dxa"/>
            <w:textDirection w:val="lrTb"/>
            <w:noWrap w:val="false"/>
          </w:tcPr>
          <w:p>
            <w:pPr>
              <w:pStyle w:val="889"/>
            </w:pPr>
            <w:r>
              <w:t xml:space="preserve">A18.05.002.001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889"/>
            </w:pPr>
            <w:r>
              <w:t xml:space="preserve">Гемодиализ интермиттирующий высокопоточный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89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6 619,15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t xml:space="preserve">1,05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rPr>
                <w:color w:val="000000"/>
              </w:rPr>
              <w:t xml:space="preserve">6 950,11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889"/>
              <w:jc w:val="right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blHeader/>
        </w:trPr>
        <w:tc>
          <w:tcPr>
            <w:tcW w:w="624" w:type="dxa"/>
            <w:textDirection w:val="lrTb"/>
            <w:noWrap w:val="false"/>
          </w:tcPr>
          <w:p>
            <w:pPr>
              <w:pStyle w:val="889"/>
              <w:jc w:val="center"/>
            </w:pPr>
            <w:r>
              <w:t xml:space="preserve">4.</w:t>
            </w:r>
            <w:r/>
          </w:p>
        </w:tc>
        <w:tc>
          <w:tcPr>
            <w:tcW w:w="1990" w:type="dxa"/>
            <w:textDirection w:val="lrTb"/>
            <w:noWrap w:val="false"/>
          </w:tcPr>
          <w:p>
            <w:pPr>
              <w:pStyle w:val="889"/>
            </w:pPr>
            <w:r>
              <w:t xml:space="preserve">A18.05.011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889"/>
            </w:pPr>
            <w:r>
              <w:t xml:space="preserve">Гемодиафильтрация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89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6 619,15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t xml:space="preserve">1,08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rPr>
                <w:color w:val="000000"/>
              </w:rPr>
              <w:t xml:space="preserve">7 148,68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889"/>
              <w:jc w:val="right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blHeader/>
        </w:trPr>
        <w:tc>
          <w:tcPr>
            <w:tcW w:w="624" w:type="dxa"/>
            <w:textDirection w:val="lrTb"/>
            <w:noWrap w:val="false"/>
          </w:tcPr>
          <w:p>
            <w:pPr>
              <w:pStyle w:val="889"/>
              <w:jc w:val="center"/>
            </w:pPr>
            <w:r>
              <w:t xml:space="preserve">5.</w:t>
            </w:r>
            <w:r/>
          </w:p>
        </w:tc>
        <w:tc>
          <w:tcPr>
            <w:tcW w:w="1990" w:type="dxa"/>
            <w:textDirection w:val="lrTb"/>
            <w:noWrap w:val="false"/>
          </w:tcPr>
          <w:p>
            <w:pPr>
              <w:pStyle w:val="889"/>
            </w:pPr>
            <w:r>
              <w:t xml:space="preserve">A18.05.004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889"/>
            </w:pPr>
            <w:r>
              <w:t xml:space="preserve">Ультрафильтрация крови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89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6 619,15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t xml:space="preserve">0,92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rPr>
                <w:color w:val="000000"/>
              </w:rPr>
              <w:t xml:space="preserve">6 089,62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889"/>
              <w:jc w:val="right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blHeader/>
        </w:trPr>
        <w:tc>
          <w:tcPr>
            <w:tcW w:w="624" w:type="dxa"/>
            <w:textDirection w:val="lrTb"/>
            <w:noWrap w:val="false"/>
          </w:tcPr>
          <w:p>
            <w:pPr>
              <w:pStyle w:val="889"/>
              <w:jc w:val="center"/>
            </w:pPr>
            <w:r>
              <w:t xml:space="preserve">6.</w:t>
            </w:r>
            <w:r/>
          </w:p>
        </w:tc>
        <w:tc>
          <w:tcPr>
            <w:tcW w:w="1990" w:type="dxa"/>
            <w:textDirection w:val="lrTb"/>
            <w:noWrap w:val="false"/>
          </w:tcPr>
          <w:p>
            <w:pPr>
              <w:pStyle w:val="889"/>
            </w:pPr>
            <w:r>
              <w:t xml:space="preserve">A18.05.002.003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889"/>
            </w:pPr>
            <w:r>
              <w:t xml:space="preserve">Гемодиализ интермиттирующий продленный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89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6 619,15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t xml:space="preserve">2,76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rPr>
                <w:color w:val="000000"/>
              </w:rPr>
              <w:t xml:space="preserve">18 268,85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889"/>
              <w:jc w:val="right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blHeader/>
        </w:trPr>
        <w:tc>
          <w:tcPr>
            <w:tcW w:w="624" w:type="dxa"/>
            <w:textDirection w:val="lrTb"/>
            <w:noWrap w:val="false"/>
          </w:tcPr>
          <w:p>
            <w:pPr>
              <w:pStyle w:val="889"/>
              <w:jc w:val="center"/>
            </w:pPr>
            <w:r>
              <w:t xml:space="preserve">7.</w:t>
            </w:r>
            <w:r/>
          </w:p>
        </w:tc>
        <w:tc>
          <w:tcPr>
            <w:tcW w:w="1990" w:type="dxa"/>
            <w:textDirection w:val="lrTb"/>
            <w:noWrap w:val="false"/>
          </w:tcPr>
          <w:p>
            <w:pPr>
              <w:pStyle w:val="889"/>
            </w:pPr>
            <w:r>
              <w:t xml:space="preserve">A18.05.003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889"/>
            </w:pPr>
            <w:r>
              <w:t xml:space="preserve">Гемофильтрация крови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89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6 619,15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t xml:space="preserve">2,88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rPr>
                <w:color w:val="000000"/>
              </w:rPr>
              <w:t xml:space="preserve">19 063,15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889"/>
              <w:jc w:val="right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blHeader/>
        </w:trPr>
        <w:tc>
          <w:tcPr>
            <w:tcW w:w="624" w:type="dxa"/>
            <w:textDirection w:val="lrTb"/>
            <w:noWrap w:val="false"/>
          </w:tcPr>
          <w:p>
            <w:pPr>
              <w:pStyle w:val="889"/>
              <w:jc w:val="center"/>
            </w:pPr>
            <w:r>
              <w:t xml:space="preserve">8.</w:t>
            </w:r>
            <w:r/>
          </w:p>
        </w:tc>
        <w:tc>
          <w:tcPr>
            <w:tcW w:w="1990" w:type="dxa"/>
            <w:textDirection w:val="lrTb"/>
            <w:noWrap w:val="false"/>
          </w:tcPr>
          <w:p>
            <w:pPr>
              <w:pStyle w:val="889"/>
            </w:pPr>
            <w:r>
              <w:t xml:space="preserve">A18.05.004.001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889"/>
            </w:pPr>
            <w:r>
              <w:t xml:space="preserve">Ультрафильтрация продленная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89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6 619,15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t xml:space="preserve">2,51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rPr>
                <w:color w:val="000000"/>
              </w:rPr>
              <w:t xml:space="preserve">16 614,07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889"/>
              <w:jc w:val="right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blHeader/>
        </w:trPr>
        <w:tc>
          <w:tcPr>
            <w:tcW w:w="624" w:type="dxa"/>
            <w:textDirection w:val="lrTb"/>
            <w:noWrap w:val="false"/>
          </w:tcPr>
          <w:p>
            <w:pPr>
              <w:pStyle w:val="889"/>
              <w:jc w:val="center"/>
            </w:pPr>
            <w:r>
              <w:t xml:space="preserve">9.</w:t>
            </w:r>
            <w:r/>
          </w:p>
        </w:tc>
        <w:tc>
          <w:tcPr>
            <w:tcW w:w="1990" w:type="dxa"/>
            <w:textDirection w:val="lrTb"/>
            <w:noWrap w:val="false"/>
          </w:tcPr>
          <w:p>
            <w:pPr>
              <w:pStyle w:val="889"/>
            </w:pPr>
            <w:r>
              <w:t xml:space="preserve">A18.05.011.001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889"/>
            </w:pPr>
            <w:r>
              <w:t xml:space="preserve">Гемодиафильтрация продленная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89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6 619,15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t xml:space="preserve">3,01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rPr>
                <w:color w:val="000000"/>
              </w:rPr>
              <w:t xml:space="preserve">19 923,64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889"/>
              <w:jc w:val="right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blHeader/>
        </w:trPr>
        <w:tc>
          <w:tcPr>
            <w:tcW w:w="624" w:type="dxa"/>
            <w:textDirection w:val="lrTb"/>
            <w:noWrap w:val="false"/>
          </w:tcPr>
          <w:p>
            <w:pPr>
              <w:pStyle w:val="889"/>
              <w:jc w:val="center"/>
            </w:pPr>
            <w:r>
              <w:t xml:space="preserve">10.</w:t>
            </w:r>
            <w:r/>
          </w:p>
        </w:tc>
        <w:tc>
          <w:tcPr>
            <w:tcW w:w="1990" w:type="dxa"/>
            <w:textDirection w:val="lrTb"/>
            <w:noWrap w:val="false"/>
          </w:tcPr>
          <w:p>
            <w:pPr>
              <w:pStyle w:val="889"/>
            </w:pPr>
            <w:r>
              <w:t xml:space="preserve">A18.05.002.005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889"/>
            </w:pPr>
            <w:r>
              <w:t xml:space="preserve">Гемодиализ продолжительный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89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6 619,15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t xml:space="preserve">5,23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rPr>
                <w:color w:val="000000"/>
              </w:rPr>
              <w:t xml:space="preserve">34 618,15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889"/>
              <w:jc w:val="right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blHeader/>
        </w:trPr>
        <w:tc>
          <w:tcPr>
            <w:tcW w:w="624" w:type="dxa"/>
            <w:textDirection w:val="lrTb"/>
            <w:noWrap w:val="false"/>
          </w:tcPr>
          <w:p>
            <w:pPr>
              <w:pStyle w:val="889"/>
              <w:jc w:val="center"/>
            </w:pPr>
            <w:r>
              <w:t xml:space="preserve">11.</w:t>
            </w:r>
            <w:r/>
          </w:p>
        </w:tc>
        <w:tc>
          <w:tcPr>
            <w:tcW w:w="1990" w:type="dxa"/>
            <w:textDirection w:val="lrTb"/>
            <w:noWrap w:val="false"/>
          </w:tcPr>
          <w:p>
            <w:pPr>
              <w:pStyle w:val="889"/>
            </w:pPr>
            <w:r>
              <w:t xml:space="preserve">A18.05.003.002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889"/>
            </w:pPr>
            <w:r>
              <w:t xml:space="preserve">Гемофильтрация крови продолжительная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89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6 619,15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t xml:space="preserve">5,48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rPr>
                <w:color w:val="000000"/>
              </w:rPr>
              <w:t xml:space="preserve">36 272,94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889"/>
              <w:jc w:val="right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blHeader/>
        </w:trPr>
        <w:tc>
          <w:tcPr>
            <w:tcW w:w="624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</w:pPr>
            <w:r>
              <w:t xml:space="preserve">№ стр.</w:t>
            </w:r>
            <w:r/>
          </w:p>
        </w:tc>
        <w:tc>
          <w:tcPr>
            <w:tcW w:w="1990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spacing w:line="240" w:lineRule="exact"/>
            </w:pPr>
            <w:r>
              <w:t xml:space="preserve">Код услуги</w:t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spacing w:line="240" w:lineRule="exact"/>
            </w:pPr>
            <w:r>
              <w:t xml:space="preserve">Наименование услуги</w:t>
            </w:r>
            <w:r/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spacing w:line="240" w:lineRule="exact"/>
            </w:pPr>
            <w:r>
              <w:t xml:space="preserve">Базовая ставка, руб.</w:t>
            </w:r>
            <w:r/>
          </w:p>
        </w:tc>
        <w:tc>
          <w:tcPr>
            <w:tcBorders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spacing w:line="240" w:lineRule="exact"/>
            </w:pPr>
            <w:r>
              <w:t xml:space="preserve">Коэффициент относительной затратоемкости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  <w:spacing w:line="240" w:lineRule="exact"/>
            </w:pPr>
            <w:r>
              <w:t xml:space="preserve">Тариф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889"/>
              <w:jc w:val="center"/>
              <w:spacing w:line="240" w:lineRule="exact"/>
            </w:pPr>
            <w:r/>
            <w:r/>
          </w:p>
        </w:tc>
      </w:tr>
      <w:tr>
        <w:tblPrEx/>
        <w:trPr>
          <w:tblHeader/>
        </w:trPr>
        <w:tc>
          <w:tcPr>
            <w:tcW w:w="624" w:type="dxa"/>
            <w:textDirection w:val="lrTb"/>
            <w:noWrap w:val="false"/>
          </w:tcPr>
          <w:p>
            <w:pPr>
              <w:pStyle w:val="889"/>
              <w:jc w:val="center"/>
            </w:pPr>
            <w:r/>
            <w:r/>
          </w:p>
        </w:tc>
        <w:tc>
          <w:tcPr>
            <w:tcW w:w="1990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</w:pPr>
            <w:r>
              <w:t xml:space="preserve">1</w:t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</w:pPr>
            <w:r>
              <w:t xml:space="preserve">2</w:t>
            </w:r>
            <w:r/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</w:pPr>
            <w:r>
              <w:t xml:space="preserve">3</w:t>
            </w:r>
            <w:r/>
          </w:p>
        </w:tc>
        <w:tc>
          <w:tcPr>
            <w:tcBorders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</w:pPr>
            <w:r>
              <w:t xml:space="preserve">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pStyle w:val="889"/>
              <w:jc w:val="center"/>
            </w:pPr>
            <w:r>
              <w:t xml:space="preserve">5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889"/>
              <w:jc w:val="center"/>
            </w:pPr>
            <w:r/>
            <w:r/>
          </w:p>
        </w:tc>
      </w:tr>
      <w:tr>
        <w:tblPrEx/>
        <w:trPr>
          <w:tblHeader/>
        </w:trPr>
        <w:tc>
          <w:tcPr>
            <w:tcW w:w="624" w:type="dxa"/>
            <w:textDirection w:val="lrTb"/>
            <w:noWrap w:val="false"/>
          </w:tcPr>
          <w:p>
            <w:pPr>
              <w:pStyle w:val="889"/>
              <w:jc w:val="center"/>
            </w:pPr>
            <w:r>
              <w:t xml:space="preserve">12.</w:t>
            </w:r>
            <w:r/>
          </w:p>
        </w:tc>
        <w:tc>
          <w:tcPr>
            <w:tcW w:w="1990" w:type="dxa"/>
            <w:textDirection w:val="lrTb"/>
            <w:noWrap w:val="false"/>
          </w:tcPr>
          <w:p>
            <w:pPr>
              <w:pStyle w:val="889"/>
            </w:pPr>
            <w:r>
              <w:t xml:space="preserve">A18.05.011.002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889"/>
            </w:pPr>
            <w:r>
              <w:t xml:space="preserve">Гемодиафильтрация продолжительная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89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6 619,15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t xml:space="preserve">5,73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rPr>
                <w:color w:val="000000"/>
              </w:rPr>
              <w:t xml:space="preserve">37 927,73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889"/>
              <w:jc w:val="right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rHeight w:val="373"/>
          <w:tblHeader/>
        </w:trPr>
        <w:tc>
          <w:tcPr>
            <w:tcW w:w="624" w:type="dxa"/>
            <w:textDirection w:val="lrTb"/>
            <w:noWrap w:val="false"/>
          </w:tcPr>
          <w:p>
            <w:pPr>
              <w:pStyle w:val="889"/>
              <w:jc w:val="center"/>
            </w:pPr>
            <w:r>
              <w:t xml:space="preserve">13.</w:t>
            </w:r>
            <w:r/>
          </w:p>
        </w:tc>
        <w:tc>
          <w:tcPr>
            <w:tcW w:w="1990" w:type="dxa"/>
            <w:textDirection w:val="lrTb"/>
            <w:noWrap w:val="false"/>
          </w:tcPr>
          <w:p>
            <w:pPr>
              <w:pStyle w:val="889"/>
            </w:pPr>
            <w:r>
              <w:t xml:space="preserve">A18.30.001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889"/>
            </w:pPr>
            <w:r>
              <w:t xml:space="preserve">Перитонеальный диализ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rPr>
                <w:szCs w:val="24"/>
              </w:rPr>
              <w:t xml:space="preserve">4 299,94</w:t>
            </w:r>
            <w:r/>
          </w:p>
        </w:tc>
        <w:tc>
          <w:tcPr>
            <w:tcBorders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t xml:space="preserve">1,0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rPr>
                <w:color w:val="000000"/>
              </w:rPr>
              <w:t xml:space="preserve">4 299,94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889"/>
              <w:jc w:val="right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blHeader/>
        </w:trPr>
        <w:tc>
          <w:tcPr>
            <w:tcW w:w="624" w:type="dxa"/>
            <w:textDirection w:val="lrTb"/>
            <w:noWrap w:val="false"/>
          </w:tcPr>
          <w:p>
            <w:pPr>
              <w:pStyle w:val="889"/>
              <w:jc w:val="center"/>
            </w:pPr>
            <w:r>
              <w:t xml:space="preserve">14.</w:t>
            </w:r>
            <w:r/>
          </w:p>
        </w:tc>
        <w:tc>
          <w:tcPr>
            <w:tcW w:w="1990" w:type="dxa"/>
            <w:textDirection w:val="lrTb"/>
            <w:noWrap w:val="false"/>
          </w:tcPr>
          <w:p>
            <w:pPr>
              <w:pStyle w:val="889"/>
            </w:pPr>
            <w:r>
              <w:t xml:space="preserve">A18.30.001.001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889"/>
            </w:pPr>
            <w:r>
              <w:t xml:space="preserve">Перитонеальный диализ проточный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89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4 299,94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t xml:space="preserve">4,92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rPr>
                <w:color w:val="000000"/>
              </w:rPr>
              <w:t xml:space="preserve">21 155,70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889"/>
              <w:jc w:val="right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blHeader/>
        </w:trPr>
        <w:tc>
          <w:tcPr>
            <w:tcW w:w="624" w:type="dxa"/>
            <w:textDirection w:val="lrTb"/>
            <w:noWrap w:val="false"/>
          </w:tcPr>
          <w:p>
            <w:pPr>
              <w:pStyle w:val="889"/>
              <w:jc w:val="center"/>
            </w:pPr>
            <w:r>
              <w:t xml:space="preserve">15.</w:t>
            </w:r>
            <w:r/>
          </w:p>
        </w:tc>
        <w:tc>
          <w:tcPr>
            <w:tcW w:w="1990" w:type="dxa"/>
            <w:textDirection w:val="lrTb"/>
            <w:noWrap w:val="false"/>
          </w:tcPr>
          <w:p>
            <w:pPr>
              <w:pStyle w:val="889"/>
            </w:pPr>
            <w:r>
              <w:t xml:space="preserve">A18.30.001.002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889"/>
            </w:pPr>
            <w:r>
              <w:t xml:space="preserve">Перитонеальный диализ с использованием автоматизированных технологий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89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4 299,94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t xml:space="preserve">1,24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rPr>
                <w:color w:val="000000"/>
              </w:rPr>
              <w:t xml:space="preserve">5 331,93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889"/>
              <w:jc w:val="right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blHeader/>
        </w:trPr>
        <w:tc>
          <w:tcPr>
            <w:tcW w:w="624" w:type="dxa"/>
            <w:textDirection w:val="lrTb"/>
            <w:noWrap w:val="false"/>
          </w:tcPr>
          <w:p>
            <w:pPr>
              <w:pStyle w:val="889"/>
              <w:jc w:val="center"/>
            </w:pPr>
            <w:r>
              <w:t xml:space="preserve">16.</w:t>
            </w:r>
            <w:r/>
          </w:p>
        </w:tc>
        <w:tc>
          <w:tcPr>
            <w:tcW w:w="1990" w:type="dxa"/>
            <w:textDirection w:val="lrTb"/>
            <w:noWrap w:val="false"/>
          </w:tcPr>
          <w:p>
            <w:pPr>
              <w:pStyle w:val="889"/>
            </w:pPr>
            <w:r>
              <w:t xml:space="preserve">A18.30.001.003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889"/>
            </w:pPr>
            <w:r>
              <w:t xml:space="preserve">Перитонеальный</w:t>
            </w:r>
            <w:r>
              <w:t xml:space="preserve"> диализ при нарушении ультрафильтрации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89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4 299,94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t xml:space="preserve">1,09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</w:pPr>
            <w:r>
              <w:rPr>
                <w:color w:val="000000"/>
              </w:rPr>
              <w:t xml:space="preserve">4 686,93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889"/>
              <w:jc w:val="right"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blHeader/>
        </w:trPr>
        <w:tc>
          <w:tcPr>
            <w:tcW w:w="624" w:type="dxa"/>
            <w:textDirection w:val="lrTb"/>
            <w:noWrap w:val="false"/>
          </w:tcPr>
          <w:p>
            <w:pPr>
              <w:pStyle w:val="889"/>
              <w:jc w:val="center"/>
            </w:pPr>
            <w:r>
              <w:t xml:space="preserve">17.</w:t>
            </w:r>
            <w:r/>
          </w:p>
        </w:tc>
        <w:tc>
          <w:tcPr>
            <w:tcW w:w="1990" w:type="dxa"/>
            <w:textDirection w:val="lrTb"/>
            <w:noWrap w:val="false"/>
          </w:tcPr>
          <w:p>
            <w:pPr>
              <w:pStyle w:val="889"/>
            </w:pPr>
            <w:r>
              <w:t xml:space="preserve">A18.05.001.001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889"/>
            </w:pPr>
            <w:r>
              <w:t xml:space="preserve">Плазмообмен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89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6 619,15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4,07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26 939,94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889"/>
              <w:jc w:val="right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>
          <w:tblHeader/>
        </w:trPr>
        <w:tc>
          <w:tcPr>
            <w:tcW w:w="624" w:type="dxa"/>
            <w:textDirection w:val="lrTb"/>
            <w:noWrap w:val="false"/>
          </w:tcPr>
          <w:p>
            <w:pPr>
              <w:pStyle w:val="889"/>
              <w:jc w:val="center"/>
            </w:pPr>
            <w:r>
              <w:t xml:space="preserve">18.</w:t>
            </w:r>
            <w:r/>
          </w:p>
        </w:tc>
        <w:tc>
          <w:tcPr>
            <w:tcW w:w="1990" w:type="dxa"/>
            <w:textDirection w:val="lrTb"/>
            <w:noWrap w:val="false"/>
          </w:tcPr>
          <w:p>
            <w:pPr>
              <w:pStyle w:val="889"/>
            </w:pPr>
            <w:r>
              <w:t xml:space="preserve">A18.05.001.005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889"/>
            </w:pPr>
            <w:r>
              <w:t xml:space="preserve">Плазмофильтрация селективная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89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6 619,15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15,63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103 457,31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889"/>
              <w:jc w:val="right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>
          <w:tblHeader/>
        </w:trPr>
        <w:tc>
          <w:tcPr>
            <w:tcW w:w="624" w:type="dxa"/>
            <w:textDirection w:val="lrTb"/>
            <w:noWrap w:val="false"/>
          </w:tcPr>
          <w:p>
            <w:pPr>
              <w:pStyle w:val="889"/>
              <w:jc w:val="center"/>
            </w:pPr>
            <w:r>
              <w:t xml:space="preserve">19.</w:t>
            </w:r>
            <w:r/>
          </w:p>
        </w:tc>
        <w:tc>
          <w:tcPr>
            <w:tcW w:w="1990" w:type="dxa"/>
            <w:textDirection w:val="lrTb"/>
            <w:noWrap w:val="false"/>
          </w:tcPr>
          <w:p>
            <w:pPr>
              <w:pStyle w:val="889"/>
            </w:pPr>
            <w:r>
              <w:t xml:space="preserve">A18.05.006.001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pStyle w:val="889"/>
            </w:pPr>
            <w:r>
              <w:t xml:space="preserve">Селективная гемосорбция</w:t>
            </w:r>
            <w:r>
              <w:rPr>
                <w:lang w:val="en-US"/>
              </w:rPr>
              <w:t xml:space="preserve"> </w:t>
            </w:r>
            <w:r>
              <w:t xml:space="preserve">липополисахаридов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89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6 619,15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61,71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Style w:val="889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408 467,75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426" w:type="dxa"/>
            <w:textDirection w:val="lrTb"/>
            <w:noWrap w:val="false"/>
          </w:tcPr>
          <w:p>
            <w:pPr>
              <w:pStyle w:val="889"/>
              <w:jc w:val="center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89"/>
              <w:jc w:val="center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</w:tbl>
    <w:p>
      <w:pPr>
        <w:pStyle w:val="889"/>
      </w:pPr>
      <w:r/>
      <w:r/>
    </w:p>
    <w:p>
      <w:pPr>
        <w:pStyle w:val="891"/>
        <w:ind w:right="-284" w:firstLine="709"/>
        <w:jc w:val="both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Особенности применения тарифов медицинской услуги диализа при оплате первичной медико-санитарной помощи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 выполнении пациентам, страдающим почечной недостаточностью, диализа в амбулаторных условиях, оказанная медицинская помощь предъявляется на оплату по тарифу медицинской услуги - за одну услугу экстракорпорального диализа или перитонеального диализа.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9"/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 выполнении диализа пациентам, находящимся на лечении в стационарных условиях в другой медицинской организации, а также находящимся на лечении в дневном стационаре, оплата случая оказания медицинской помощи осуществляется за одну услугу экстракорпора</w:t>
      </w:r>
      <w:r>
        <w:rPr>
          <w:sz w:val="28"/>
          <w:szCs w:val="28"/>
        </w:rPr>
        <w:t xml:space="preserve">льного диализа или перитонеального диализа.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9"/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Для учета выполненных объемов диализной медицинской помощи лечение пациента в течение календарного месяца учитывается как одно обращение в связи с заболеванием (в среднем 12,5 - 13 услуг экстракорпорального диализа или ежедневные обмены с эффективным об</w:t>
      </w:r>
      <w:r>
        <w:rPr>
          <w:sz w:val="28"/>
          <w:szCs w:val="28"/>
        </w:rPr>
        <w:t xml:space="preserve">ъемом диализата при перитонеальном диализе в течение календарного месяца). При этом в реестре счетов на оплату медицинской помощи по ОМС в установленном порядке указывается информация об обращении без указания его стоимости, предъявленной к оплате.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9"/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При </w:t>
      </w:r>
      <w:r>
        <w:rPr>
          <w:sz w:val="28"/>
          <w:szCs w:val="28"/>
        </w:rPr>
        <w:t xml:space="preserve">выполнении диализа в амбулаторных условиях обеспечение </w:t>
      </w:r>
      <w:r>
        <w:rPr>
          <w:sz w:val="28"/>
          <w:szCs w:val="28"/>
        </w:rPr>
        <w:t xml:space="preserve">пациента лекарственными препаратами, в том числе для профилактики осложнений, осуществляется за счет иных нежели ОМС средств.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9"/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1"/>
        <w:ind w:right="-284" w:firstLine="709"/>
        <w:jc w:val="both"/>
        <w:rPr>
          <w:rFonts w:ascii="Times New Roman" w:hAnsi="Times New Roman" w:cs="Times New Roman"/>
          <w:sz w:val="28"/>
          <w:szCs w:val="28"/>
        </w:rPr>
        <w:outlineLvl w:val="1"/>
      </w:pPr>
      <w:r/>
      <w:bookmarkStart w:id="1" w:name="undefined"/>
      <w:r/>
      <w:bookmarkEnd w:id="1"/>
      <w:r>
        <w:rPr>
          <w:rFonts w:ascii="Times New Roman" w:hAnsi="Times New Roman" w:cs="Times New Roman"/>
          <w:sz w:val="28"/>
          <w:szCs w:val="28"/>
        </w:rPr>
        <w:t xml:space="preserve">Особенности применения тарифов услуг диализа к тарифам КСГ, ВМП при оплате</w:t>
      </w:r>
      <w:r>
        <w:rPr>
          <w:rFonts w:ascii="Times New Roman" w:hAnsi="Times New Roman" w:cs="Times New Roman"/>
          <w:sz w:val="28"/>
          <w:szCs w:val="28"/>
        </w:rPr>
        <w:t xml:space="preserve"> медицинской помощи в стационарных условиях или в условиях дневного стационара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ind w:right="-284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1. При оплате медицинской помощи, оказанной в стационарных условиях, по тарифу КСГ оказанные пациентам с хронической почечной недостаточностью медицинские услуги диализа включа</w:t>
      </w:r>
      <w:r>
        <w:rPr>
          <w:sz w:val="28"/>
          <w:szCs w:val="28"/>
        </w:rPr>
        <w:t xml:space="preserve">тся в стоимость случая лечения. Стоимость медицинских услуг диализа с учетом количества фактически выполненных услуг </w:t>
      </w:r>
      <w:r>
        <w:rPr>
          <w:color w:val="000000" w:themeColor="text1"/>
          <w:sz w:val="28"/>
          <w:szCs w:val="28"/>
        </w:rPr>
        <w:t xml:space="preserve">является составным компонентом оплаты случая оказания медицинской помощи, который оплачивается по тарифу КСГ нефрологического профиля и сов</w:t>
      </w:r>
      <w:r>
        <w:rPr>
          <w:color w:val="000000" w:themeColor="text1"/>
          <w:sz w:val="28"/>
          <w:szCs w:val="28"/>
        </w:rPr>
        <w:t xml:space="preserve">окупной стоимости выполненных пациенту услуг диализа по тарифам, установленным в </w:t>
      </w:r>
      <w:hyperlink r:id="rId9" w:tooltip="&quot;Тарифное соглашение в сфере обязательного медицинского страхования на территории Ставропольского края&quot; (заключено в г. Ставрополе 25.12.2025) (ред. от 19.02.2026) (вместе с &quot;Перечнем основных терминов, понятий и сокращений, применяемых в настоящем тарифном со" w:history="1">
        <w:r>
          <w:rPr>
            <w:color w:val="000000" w:themeColor="text1"/>
            <w:sz w:val="28"/>
            <w:szCs w:val="28"/>
          </w:rPr>
          <w:t xml:space="preserve">приложении 15</w:t>
        </w:r>
      </w:hyperlink>
      <w:r>
        <w:rPr>
          <w:color w:val="000000" w:themeColor="text1"/>
          <w:sz w:val="28"/>
          <w:szCs w:val="28"/>
        </w:rPr>
        <w:t xml:space="preserve"> к тарифному соглашению.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889"/>
        <w:ind w:right="-284"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При оплате медицинской помощи, оказанной</w:t>
      </w:r>
      <w:r>
        <w:rPr>
          <w:sz w:val="28"/>
          <w:szCs w:val="28"/>
        </w:rPr>
        <w:t xml:space="preserve"> в условиях дневного стационара, по тарифу КСГ </w:t>
      </w:r>
      <w:r>
        <w:rPr>
          <w:sz w:val="28"/>
          <w:szCs w:val="28"/>
        </w:rPr>
        <w:t xml:space="preserve">оказанные пациентам с хронической почечной недостаточностью медицинские услуги диализа включаются в стоимость случая лечения при условии установления Комиссий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9"/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 случае проведения пациенту с хронической почечной недостаточностью заместительной почечной </w:t>
      </w:r>
      <w:r>
        <w:rPr>
          <w:sz w:val="28"/>
          <w:szCs w:val="28"/>
        </w:rPr>
        <w:t xml:space="preserve">терапии методами диализа в период нахождения его в стационаре или дневном стационаре по поводу другого (интеркуррентного) заболевания при документально обоснованной невозможности его транспортировки в диализный центр, случай оказания медицинской помощи, пр</w:t>
      </w:r>
      <w:r>
        <w:rPr>
          <w:sz w:val="28"/>
          <w:szCs w:val="28"/>
        </w:rPr>
        <w:t xml:space="preserve">едъявляется на оплату по тарифу КСГ интеркуррентного заболевания и стоимости медицинских услуг диализа с учетом количества фактически выполненных пациенту услуг диализа.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9"/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 случае проведения пациенту с острой почечной недостаточностью, которая явилась сл</w:t>
      </w:r>
      <w:r>
        <w:rPr>
          <w:sz w:val="28"/>
          <w:szCs w:val="28"/>
        </w:rPr>
        <w:t xml:space="preserve">едствием закономерного прогрессирования заболевания или осложнением основного заболевания, заместительной почечной терапии методом гемодиализа или гемофильтрации, случай оказания медицинской помощи в стационарных условиях, предъявляется на оплату по тарифу</w:t>
      </w:r>
      <w:r>
        <w:rPr>
          <w:sz w:val="28"/>
          <w:szCs w:val="28"/>
        </w:rPr>
        <w:t xml:space="preserve"> КСГ, ВМП соответствующему основному заболеванию, а также стоимости выполненных пациенту медицинских услуг диализа. При этом в реестре счетов на оплату медицинской помощи по ОМС в соответствии с кодом КСГ указываются все выполненные услуги диализа, с учето</w:t>
      </w:r>
      <w:r>
        <w:rPr>
          <w:sz w:val="28"/>
          <w:szCs w:val="28"/>
        </w:rPr>
        <w:t xml:space="preserve">м фактически выполненных услуг.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9"/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Для учета объема оказанной в стационарных условиях диализной медицинской помощи как законченный случай предъявляется на оплату лечение в течение всего периода нахождения пациента в стационаре.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9"/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Для учета выполненных объ</w:t>
      </w:r>
      <w:r>
        <w:rPr>
          <w:sz w:val="28"/>
          <w:szCs w:val="28"/>
        </w:rPr>
        <w:t xml:space="preserve">емов диализной медицинской помощи за единицу объема в условиях дневного стационара принимается и предъявляется на оплату как законченный случай оказания медицинской помощи один месяц лечения.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9"/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Случай оказания медицинской помощи в стационарных условиях и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условиях дневного стационара лицу с хронической почечной недостаточностью предъявляется к оплате, если пациент обеспечен всеми необходимыми лекарственными препаратами, в том числе для профилактики осложнений.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9"/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Объемы плановой медицинской помощи с приме</w:t>
      </w:r>
      <w:r>
        <w:rPr>
          <w:sz w:val="28"/>
          <w:szCs w:val="28"/>
        </w:rPr>
        <w:t xml:space="preserve">нением методов заместительной почечной терапии устанавливаются или изменяются на основании Реестра застрахованных лиц, страдающих хронической почечной недостаточностью, получающих медицинскую помощь с применением методов заместительной терапии, порядок вед</w:t>
      </w:r>
      <w:r>
        <w:rPr>
          <w:sz w:val="28"/>
          <w:szCs w:val="28"/>
        </w:rPr>
        <w:t xml:space="preserve">ения которого определяется фондом.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850" w:bottom="964" w:left="1701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Style w:val="889"/>
      </w:pPr>
      <w:r>
        <w:separator/>
      </w:r>
      <w:r/>
    </w:p>
  </w:endnote>
  <w:endnote w:type="continuationSeparator" w:id="0">
    <w:p>
      <w:pPr>
        <w:pStyle w:val="889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Style w:val="889"/>
      </w:pPr>
      <w:r>
        <w:separator/>
      </w:r>
      <w:r/>
    </w:p>
  </w:footnote>
  <w:footnote w:type="continuationSeparator" w:id="0">
    <w:p>
      <w:pPr>
        <w:pStyle w:val="889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89248306"/>
      <w:docPartObj>
        <w:docPartGallery w:val="Page Numbers (Top of Page)"/>
        <w:docPartUnique w:val="true"/>
      </w:docPartObj>
      <w:rPr/>
    </w:sdtPr>
    <w:sdtContent>
      <w:p>
        <w:pPr>
          <w:pStyle w:val="739"/>
          <w:jc w:val="center"/>
        </w:pPr>
        <w:r/>
        <w:r/>
      </w:p>
      <w:p>
        <w:pPr>
          <w:pStyle w:val="739"/>
          <w:jc w:val="center"/>
        </w:pPr>
        <w:r/>
        <w:r/>
      </w:p>
      <w:p>
        <w:pPr>
          <w:pStyle w:val="739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3</w:t>
        </w:r>
        <w:r>
          <w:rPr>
            <w:sz w:val="28"/>
            <w:szCs w:val="28"/>
          </w:rPr>
          <w:fldChar w:fldCharType="end"/>
        </w:r>
        <w:r>
          <w:rPr>
            <w:sz w:val="28"/>
            <w:szCs w:val="28"/>
          </w:rPr>
        </w:r>
        <w:r>
          <w:rPr>
            <w:sz w:val="28"/>
            <w:szCs w:val="28"/>
          </w:rPr>
        </w:r>
      </w:p>
    </w:sdtContent>
  </w:sdt>
  <w:p>
    <w:pPr>
      <w:pStyle w:val="739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9" w:default="1">
    <w:name w:val="Normal"/>
    <w:qFormat/>
  </w:style>
  <w:style w:type="paragraph" w:styleId="690">
    <w:name w:val="Heading 1"/>
    <w:basedOn w:val="689"/>
    <w:next w:val="689"/>
    <w:link w:val="72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1">
    <w:name w:val="Heading 2"/>
    <w:basedOn w:val="689"/>
    <w:next w:val="689"/>
    <w:link w:val="72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2">
    <w:name w:val="Heading 3"/>
    <w:basedOn w:val="689"/>
    <w:next w:val="689"/>
    <w:link w:val="72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3">
    <w:name w:val="Heading 4"/>
    <w:basedOn w:val="689"/>
    <w:next w:val="689"/>
    <w:link w:val="72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4">
    <w:name w:val="Heading 5"/>
    <w:basedOn w:val="689"/>
    <w:next w:val="689"/>
    <w:link w:val="72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5">
    <w:name w:val="Heading 6"/>
    <w:basedOn w:val="689"/>
    <w:next w:val="689"/>
    <w:link w:val="72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96">
    <w:name w:val="Heading 7"/>
    <w:basedOn w:val="689"/>
    <w:next w:val="689"/>
    <w:link w:val="7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97">
    <w:name w:val="Heading 8"/>
    <w:basedOn w:val="689"/>
    <w:next w:val="689"/>
    <w:link w:val="7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98">
    <w:name w:val="Heading 9"/>
    <w:basedOn w:val="689"/>
    <w:next w:val="689"/>
    <w:link w:val="7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9" w:default="1">
    <w:name w:val="Default Paragraph Font"/>
    <w:uiPriority w:val="1"/>
    <w:semiHidden/>
    <w:unhideWhenUsed/>
  </w:style>
  <w:style w:type="table" w:styleId="7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1" w:default="1">
    <w:name w:val="No List"/>
    <w:uiPriority w:val="99"/>
    <w:semiHidden/>
    <w:unhideWhenUsed/>
  </w:style>
  <w:style w:type="character" w:styleId="702" w:customStyle="1">
    <w:name w:val="Heading 1 Char"/>
    <w:basedOn w:val="69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03" w:customStyle="1">
    <w:name w:val="Heading 2 Char"/>
    <w:basedOn w:val="699"/>
    <w:uiPriority w:val="9"/>
    <w:rPr>
      <w:rFonts w:ascii="Liberation Sans" w:hAnsi="Liberation Sans" w:eastAsia="Liberation Sans" w:cs="Liberation Sans"/>
      <w:sz w:val="34"/>
    </w:rPr>
  </w:style>
  <w:style w:type="character" w:styleId="704" w:customStyle="1">
    <w:name w:val="Heading 3 Char"/>
    <w:basedOn w:val="699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05" w:customStyle="1">
    <w:name w:val="Heading 4 Char"/>
    <w:basedOn w:val="69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6" w:customStyle="1">
    <w:name w:val="Heading 5 Char"/>
    <w:basedOn w:val="69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7" w:customStyle="1">
    <w:name w:val="Heading 6 Char"/>
    <w:basedOn w:val="69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8" w:customStyle="1">
    <w:name w:val="Heading 7 Char"/>
    <w:basedOn w:val="69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9" w:customStyle="1">
    <w:name w:val="Heading 8 Char"/>
    <w:basedOn w:val="69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10" w:customStyle="1">
    <w:name w:val="Heading 9 Char"/>
    <w:basedOn w:val="69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1" w:customStyle="1">
    <w:name w:val="Title Char"/>
    <w:basedOn w:val="699"/>
    <w:uiPriority w:val="10"/>
    <w:rPr>
      <w:sz w:val="48"/>
      <w:szCs w:val="48"/>
    </w:rPr>
  </w:style>
  <w:style w:type="character" w:styleId="712" w:customStyle="1">
    <w:name w:val="Subtitle Char"/>
    <w:basedOn w:val="699"/>
    <w:uiPriority w:val="11"/>
    <w:rPr>
      <w:sz w:val="24"/>
      <w:szCs w:val="24"/>
    </w:rPr>
  </w:style>
  <w:style w:type="character" w:styleId="713" w:customStyle="1">
    <w:name w:val="Quote Char"/>
    <w:uiPriority w:val="29"/>
    <w:rPr>
      <w:i/>
    </w:rPr>
  </w:style>
  <w:style w:type="character" w:styleId="714" w:customStyle="1">
    <w:name w:val="Intense Quote Char"/>
    <w:uiPriority w:val="30"/>
    <w:rPr>
      <w:i/>
    </w:rPr>
  </w:style>
  <w:style w:type="character" w:styleId="715" w:customStyle="1">
    <w:name w:val="Header Char"/>
    <w:basedOn w:val="699"/>
    <w:uiPriority w:val="99"/>
  </w:style>
  <w:style w:type="character" w:styleId="716" w:customStyle="1">
    <w:name w:val="Footer Char"/>
    <w:basedOn w:val="699"/>
    <w:uiPriority w:val="99"/>
  </w:style>
  <w:style w:type="character" w:styleId="717" w:customStyle="1">
    <w:name w:val="Caption Char"/>
    <w:basedOn w:val="699"/>
    <w:uiPriority w:val="35"/>
    <w:rPr>
      <w:b/>
      <w:bCs/>
      <w:color w:val="4f81bd" w:themeColor="accent1"/>
      <w:sz w:val="18"/>
      <w:szCs w:val="18"/>
    </w:rPr>
  </w:style>
  <w:style w:type="character" w:styleId="718" w:customStyle="1">
    <w:name w:val="Footnote Text Char"/>
    <w:uiPriority w:val="99"/>
    <w:rPr>
      <w:sz w:val="18"/>
    </w:rPr>
  </w:style>
  <w:style w:type="character" w:styleId="719" w:customStyle="1">
    <w:name w:val="Endnote Text Char"/>
    <w:uiPriority w:val="99"/>
    <w:rPr>
      <w:sz w:val="20"/>
    </w:rPr>
  </w:style>
  <w:style w:type="character" w:styleId="720" w:customStyle="1">
    <w:name w:val="Заголовок 1 Знак"/>
    <w:link w:val="690"/>
    <w:uiPriority w:val="9"/>
    <w:rPr>
      <w:rFonts w:ascii="Arial" w:hAnsi="Arial" w:eastAsia="Arial" w:cs="Arial"/>
      <w:sz w:val="40"/>
      <w:szCs w:val="40"/>
    </w:rPr>
  </w:style>
  <w:style w:type="character" w:styleId="721" w:customStyle="1">
    <w:name w:val="Заголовок 2 Знак"/>
    <w:link w:val="691"/>
    <w:uiPriority w:val="9"/>
    <w:rPr>
      <w:rFonts w:ascii="Arial" w:hAnsi="Arial" w:eastAsia="Arial" w:cs="Arial"/>
      <w:sz w:val="34"/>
    </w:rPr>
  </w:style>
  <w:style w:type="character" w:styleId="722" w:customStyle="1">
    <w:name w:val="Заголовок 3 Знак"/>
    <w:link w:val="692"/>
    <w:uiPriority w:val="9"/>
    <w:rPr>
      <w:rFonts w:ascii="Arial" w:hAnsi="Arial" w:eastAsia="Arial" w:cs="Arial"/>
      <w:sz w:val="30"/>
      <w:szCs w:val="30"/>
    </w:rPr>
  </w:style>
  <w:style w:type="character" w:styleId="723" w:customStyle="1">
    <w:name w:val="Заголовок 4 Знак"/>
    <w:link w:val="693"/>
    <w:uiPriority w:val="9"/>
    <w:rPr>
      <w:rFonts w:ascii="Arial" w:hAnsi="Arial" w:eastAsia="Arial" w:cs="Arial"/>
      <w:b/>
      <w:bCs/>
      <w:sz w:val="26"/>
      <w:szCs w:val="26"/>
    </w:rPr>
  </w:style>
  <w:style w:type="character" w:styleId="724" w:customStyle="1">
    <w:name w:val="Заголовок 5 Знак"/>
    <w:link w:val="694"/>
    <w:uiPriority w:val="9"/>
    <w:rPr>
      <w:rFonts w:ascii="Arial" w:hAnsi="Arial" w:eastAsia="Arial" w:cs="Arial"/>
      <w:b/>
      <w:bCs/>
      <w:sz w:val="24"/>
      <w:szCs w:val="24"/>
    </w:rPr>
  </w:style>
  <w:style w:type="character" w:styleId="725" w:customStyle="1">
    <w:name w:val="Заголовок 6 Знак"/>
    <w:link w:val="695"/>
    <w:uiPriority w:val="9"/>
    <w:rPr>
      <w:rFonts w:ascii="Arial" w:hAnsi="Arial" w:eastAsia="Arial" w:cs="Arial"/>
      <w:b/>
      <w:bCs/>
      <w:sz w:val="22"/>
      <w:szCs w:val="22"/>
    </w:rPr>
  </w:style>
  <w:style w:type="character" w:styleId="726" w:customStyle="1">
    <w:name w:val="Заголовок 7 Знак"/>
    <w:link w:val="69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7" w:customStyle="1">
    <w:name w:val="Заголовок 8 Знак"/>
    <w:link w:val="697"/>
    <w:uiPriority w:val="9"/>
    <w:rPr>
      <w:rFonts w:ascii="Arial" w:hAnsi="Arial" w:eastAsia="Arial" w:cs="Arial"/>
      <w:i/>
      <w:iCs/>
      <w:sz w:val="22"/>
      <w:szCs w:val="22"/>
    </w:rPr>
  </w:style>
  <w:style w:type="character" w:styleId="728" w:customStyle="1">
    <w:name w:val="Заголовок 9 Знак"/>
    <w:link w:val="698"/>
    <w:uiPriority w:val="9"/>
    <w:rPr>
      <w:rFonts w:ascii="Arial" w:hAnsi="Arial" w:eastAsia="Arial" w:cs="Arial"/>
      <w:i/>
      <w:iCs/>
      <w:sz w:val="21"/>
      <w:szCs w:val="21"/>
    </w:rPr>
  </w:style>
  <w:style w:type="paragraph" w:styleId="729">
    <w:name w:val="List Paragraph"/>
    <w:basedOn w:val="689"/>
    <w:uiPriority w:val="34"/>
    <w:qFormat/>
    <w:pPr>
      <w:contextualSpacing/>
      <w:ind w:left="720"/>
    </w:pPr>
  </w:style>
  <w:style w:type="paragraph" w:styleId="730">
    <w:name w:val="No Spacing"/>
    <w:uiPriority w:val="1"/>
    <w:qFormat/>
  </w:style>
  <w:style w:type="paragraph" w:styleId="731">
    <w:name w:val="Title"/>
    <w:basedOn w:val="689"/>
    <w:next w:val="689"/>
    <w:link w:val="73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2" w:customStyle="1">
    <w:name w:val="Название Знак"/>
    <w:link w:val="731"/>
    <w:uiPriority w:val="10"/>
    <w:rPr>
      <w:sz w:val="48"/>
      <w:szCs w:val="48"/>
    </w:rPr>
  </w:style>
  <w:style w:type="paragraph" w:styleId="733">
    <w:name w:val="Subtitle"/>
    <w:basedOn w:val="689"/>
    <w:next w:val="689"/>
    <w:link w:val="734"/>
    <w:uiPriority w:val="11"/>
    <w:qFormat/>
    <w:pPr>
      <w:spacing w:before="200" w:after="200"/>
    </w:pPr>
    <w:rPr>
      <w:sz w:val="24"/>
      <w:szCs w:val="24"/>
    </w:rPr>
  </w:style>
  <w:style w:type="character" w:styleId="734" w:customStyle="1">
    <w:name w:val="Подзаголовок Знак"/>
    <w:link w:val="733"/>
    <w:uiPriority w:val="11"/>
    <w:rPr>
      <w:sz w:val="24"/>
      <w:szCs w:val="24"/>
    </w:rPr>
  </w:style>
  <w:style w:type="paragraph" w:styleId="735">
    <w:name w:val="Quote"/>
    <w:basedOn w:val="689"/>
    <w:next w:val="689"/>
    <w:link w:val="736"/>
    <w:uiPriority w:val="29"/>
    <w:qFormat/>
    <w:pPr>
      <w:ind w:left="720" w:right="720"/>
    </w:pPr>
    <w:rPr>
      <w:i/>
    </w:rPr>
  </w:style>
  <w:style w:type="character" w:styleId="736" w:customStyle="1">
    <w:name w:val="Цитата 2 Знак"/>
    <w:link w:val="735"/>
    <w:uiPriority w:val="29"/>
    <w:rPr>
      <w:i/>
    </w:rPr>
  </w:style>
  <w:style w:type="paragraph" w:styleId="737">
    <w:name w:val="Intense Quote"/>
    <w:basedOn w:val="689"/>
    <w:next w:val="689"/>
    <w:link w:val="73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8" w:customStyle="1">
    <w:name w:val="Выделенная цитата Знак"/>
    <w:link w:val="737"/>
    <w:uiPriority w:val="30"/>
    <w:rPr>
      <w:i/>
    </w:rPr>
  </w:style>
  <w:style w:type="paragraph" w:styleId="739">
    <w:name w:val="Header"/>
    <w:basedOn w:val="689"/>
    <w:link w:val="740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40" w:customStyle="1">
    <w:name w:val="Верхний колонтитул Знак"/>
    <w:link w:val="739"/>
    <w:uiPriority w:val="99"/>
  </w:style>
  <w:style w:type="paragraph" w:styleId="741">
    <w:name w:val="Footer"/>
    <w:basedOn w:val="689"/>
    <w:link w:val="742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42" w:customStyle="1">
    <w:name w:val="Нижний колонтитул Знак"/>
    <w:link w:val="741"/>
    <w:uiPriority w:val="99"/>
  </w:style>
  <w:style w:type="paragraph" w:styleId="743">
    <w:name w:val="Caption"/>
    <w:basedOn w:val="689"/>
    <w:next w:val="689"/>
    <w:link w:val="74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4" w:customStyle="1">
    <w:name w:val="Название объекта Знак"/>
    <w:link w:val="743"/>
    <w:uiPriority w:val="35"/>
    <w:rPr>
      <w:b/>
      <w:bCs/>
      <w:color w:val="4f81bd" w:themeColor="accent1"/>
      <w:sz w:val="18"/>
      <w:szCs w:val="18"/>
    </w:rPr>
  </w:style>
  <w:style w:type="table" w:styleId="745">
    <w:name w:val="Table Grid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6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7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8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0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2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4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5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6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7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8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79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0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7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8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89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0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1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2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3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4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5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0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7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8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39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0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1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2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3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1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2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3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4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5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6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7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8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9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0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1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2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3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4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5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6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7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8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69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0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71">
    <w:name w:val="Hyperlink"/>
    <w:uiPriority w:val="99"/>
    <w:unhideWhenUsed/>
    <w:rPr>
      <w:color w:val="0000ff" w:themeColor="hyperlink"/>
      <w:u w:val="single"/>
    </w:rPr>
  </w:style>
  <w:style w:type="paragraph" w:styleId="872">
    <w:name w:val="footnote text"/>
    <w:basedOn w:val="689"/>
    <w:link w:val="873"/>
    <w:uiPriority w:val="99"/>
    <w:semiHidden/>
    <w:unhideWhenUsed/>
    <w:pPr>
      <w:spacing w:after="40"/>
    </w:pPr>
    <w:rPr>
      <w:sz w:val="18"/>
    </w:rPr>
  </w:style>
  <w:style w:type="character" w:styleId="873" w:customStyle="1">
    <w:name w:val="Текст сноски Знак"/>
    <w:link w:val="872"/>
    <w:uiPriority w:val="99"/>
    <w:rPr>
      <w:sz w:val="18"/>
    </w:rPr>
  </w:style>
  <w:style w:type="character" w:styleId="874">
    <w:name w:val="footnote reference"/>
    <w:uiPriority w:val="99"/>
    <w:unhideWhenUsed/>
    <w:rPr>
      <w:vertAlign w:val="superscript"/>
    </w:rPr>
  </w:style>
  <w:style w:type="paragraph" w:styleId="875">
    <w:name w:val="endnote text"/>
    <w:basedOn w:val="689"/>
    <w:link w:val="876"/>
    <w:uiPriority w:val="99"/>
    <w:semiHidden/>
    <w:unhideWhenUsed/>
  </w:style>
  <w:style w:type="character" w:styleId="876" w:customStyle="1">
    <w:name w:val="Текст концевой сноски Знак"/>
    <w:link w:val="875"/>
    <w:uiPriority w:val="99"/>
    <w:rPr>
      <w:sz w:val="20"/>
    </w:rPr>
  </w:style>
  <w:style w:type="character" w:styleId="877">
    <w:name w:val="endnote reference"/>
    <w:uiPriority w:val="99"/>
    <w:semiHidden/>
    <w:unhideWhenUsed/>
    <w:rPr>
      <w:vertAlign w:val="superscript"/>
    </w:rPr>
  </w:style>
  <w:style w:type="paragraph" w:styleId="878">
    <w:name w:val="toc 1"/>
    <w:basedOn w:val="689"/>
    <w:next w:val="689"/>
    <w:uiPriority w:val="39"/>
    <w:unhideWhenUsed/>
    <w:pPr>
      <w:spacing w:after="57"/>
    </w:pPr>
  </w:style>
  <w:style w:type="paragraph" w:styleId="879">
    <w:name w:val="toc 2"/>
    <w:basedOn w:val="689"/>
    <w:next w:val="689"/>
    <w:uiPriority w:val="39"/>
    <w:unhideWhenUsed/>
    <w:pPr>
      <w:ind w:left="283"/>
      <w:spacing w:after="57"/>
    </w:pPr>
  </w:style>
  <w:style w:type="paragraph" w:styleId="880">
    <w:name w:val="toc 3"/>
    <w:basedOn w:val="689"/>
    <w:next w:val="689"/>
    <w:uiPriority w:val="39"/>
    <w:unhideWhenUsed/>
    <w:pPr>
      <w:ind w:left="567"/>
      <w:spacing w:after="57"/>
    </w:pPr>
  </w:style>
  <w:style w:type="paragraph" w:styleId="881">
    <w:name w:val="toc 4"/>
    <w:basedOn w:val="689"/>
    <w:next w:val="689"/>
    <w:uiPriority w:val="39"/>
    <w:unhideWhenUsed/>
    <w:pPr>
      <w:ind w:left="850"/>
      <w:spacing w:after="57"/>
    </w:pPr>
  </w:style>
  <w:style w:type="paragraph" w:styleId="882">
    <w:name w:val="toc 5"/>
    <w:basedOn w:val="689"/>
    <w:next w:val="689"/>
    <w:uiPriority w:val="39"/>
    <w:unhideWhenUsed/>
    <w:pPr>
      <w:ind w:left="1134"/>
      <w:spacing w:after="57"/>
    </w:pPr>
  </w:style>
  <w:style w:type="paragraph" w:styleId="883">
    <w:name w:val="toc 6"/>
    <w:basedOn w:val="689"/>
    <w:next w:val="689"/>
    <w:uiPriority w:val="39"/>
    <w:unhideWhenUsed/>
    <w:pPr>
      <w:ind w:left="1417"/>
      <w:spacing w:after="57"/>
    </w:pPr>
  </w:style>
  <w:style w:type="paragraph" w:styleId="884">
    <w:name w:val="toc 7"/>
    <w:basedOn w:val="689"/>
    <w:next w:val="689"/>
    <w:uiPriority w:val="39"/>
    <w:unhideWhenUsed/>
    <w:pPr>
      <w:ind w:left="1701"/>
      <w:spacing w:after="57"/>
    </w:pPr>
  </w:style>
  <w:style w:type="paragraph" w:styleId="885">
    <w:name w:val="toc 8"/>
    <w:basedOn w:val="689"/>
    <w:next w:val="689"/>
    <w:uiPriority w:val="39"/>
    <w:unhideWhenUsed/>
    <w:pPr>
      <w:ind w:left="1984"/>
      <w:spacing w:after="57"/>
    </w:pPr>
  </w:style>
  <w:style w:type="paragraph" w:styleId="886">
    <w:name w:val="toc 9"/>
    <w:basedOn w:val="689"/>
    <w:next w:val="689"/>
    <w:uiPriority w:val="39"/>
    <w:unhideWhenUsed/>
    <w:pPr>
      <w:ind w:left="2268"/>
      <w:spacing w:after="57"/>
    </w:pPr>
  </w:style>
  <w:style w:type="paragraph" w:styleId="887">
    <w:name w:val="TOC Heading"/>
    <w:uiPriority w:val="39"/>
    <w:unhideWhenUsed/>
  </w:style>
  <w:style w:type="paragraph" w:styleId="888">
    <w:name w:val="table of figures"/>
    <w:basedOn w:val="689"/>
    <w:next w:val="689"/>
    <w:uiPriority w:val="99"/>
    <w:unhideWhenUsed/>
  </w:style>
  <w:style w:type="paragraph" w:styleId="889" w:customStyle="1">
    <w:name w:val="ConsPlusNormal"/>
    <w:pPr>
      <w:widowControl w:val="off"/>
    </w:pPr>
    <w:rPr>
      <w:sz w:val="24"/>
    </w:rPr>
  </w:style>
  <w:style w:type="paragraph" w:styleId="890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891" w:customStyle="1">
    <w:name w:val="ConsPlusTitle"/>
    <w:uiPriority w:val="99"/>
    <w:pPr>
      <w:widowControl w:val="off"/>
    </w:pPr>
    <w:rPr>
      <w:rFonts w:ascii="Arial" w:hAnsi="Arial" w:cs="Arial"/>
      <w:b/>
      <w:sz w:val="24"/>
    </w:rPr>
  </w:style>
  <w:style w:type="paragraph" w:styleId="892" w:customStyle="1">
    <w:name w:val="ConsPlusCell"/>
    <w:pPr>
      <w:widowControl w:val="off"/>
    </w:pPr>
    <w:rPr>
      <w:rFonts w:ascii="Courier New" w:hAnsi="Courier New" w:cs="Courier New"/>
    </w:rPr>
  </w:style>
  <w:style w:type="paragraph" w:styleId="893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894" w:customStyle="1">
    <w:name w:val="ConsPlusTitlePage"/>
    <w:pPr>
      <w:widowControl w:val="off"/>
    </w:pPr>
    <w:rPr>
      <w:rFonts w:ascii="Tahoma" w:hAnsi="Tahoma" w:cs="Tahoma"/>
    </w:rPr>
  </w:style>
  <w:style w:type="paragraph" w:styleId="895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896" w:customStyle="1">
    <w:name w:val="ConsPlusTextList"/>
    <w:pPr>
      <w:widowControl w:val="off"/>
    </w:pPr>
    <w:rPr>
      <w:sz w:val="24"/>
    </w:rPr>
  </w:style>
  <w:style w:type="paragraph" w:styleId="897" w:customStyle="1">
    <w:name w:val="ConsPlusTextList"/>
    <w:pPr>
      <w:widowControl w:val="off"/>
    </w:pPr>
    <w:rPr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yperlink" Target="https://login.consultant.ru/link/?req=doc&amp;base=RLAW077&amp;n=252385&amp;date=25.03.2026&amp;dst=112623&amp;field=1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КонсультантПлюс Версия 4025.00.30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"Тарифное соглашение в сфере обязательного медицинского страхования на территории Ставропольского края"
(Заключено в г. Ставрополе 24.01.2025)
(ред. от 27.10.2025)
(вместе с "Перечнем основных терминов, понятий и сокращений, применяемых в настоящем тарифном соглашении", "Порядком применения показателей результативности деятельности медицинских организаций на территории Ставропольского края", "Перечнем медицинских организаций, оказывающих медицинскую помощь в амбулаторных условиях, имеющих прикрепившихся лиц</dc:title>
  <cp:lastModifiedBy>burkaleva</cp:lastModifiedBy>
  <cp:revision>21</cp:revision>
  <dcterms:created xsi:type="dcterms:W3CDTF">2025-12-01T07:00:00Z</dcterms:created>
  <dcterms:modified xsi:type="dcterms:W3CDTF">2026-03-26T13:52:57Z</dcterms:modified>
</cp:coreProperties>
</file>